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B" w:rsidRPr="006B5B1B" w:rsidRDefault="006B5B1B" w:rsidP="006B5B1B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lv-LV"/>
        </w:rPr>
      </w:pPr>
      <w:r w:rsidRPr="006B5B1B">
        <w:rPr>
          <w:rFonts w:ascii="Arial" w:eastAsia="Times New Roman" w:hAnsi="Arial" w:cs="Arial"/>
          <w:color w:val="333333"/>
          <w:kern w:val="36"/>
          <w:sz w:val="45"/>
          <w:szCs w:val="45"/>
          <w:lang w:eastAsia="lv-LV"/>
        </w:rPr>
        <w:t xml:space="preserve">Kur meklēt atbildes uz neskaidrajiem jautājumiem par </w:t>
      </w:r>
      <w:proofErr w:type="spellStart"/>
      <w:r w:rsidRPr="006B5B1B">
        <w:rPr>
          <w:rFonts w:ascii="Arial" w:eastAsia="Times New Roman" w:hAnsi="Arial" w:cs="Arial"/>
          <w:color w:val="333333"/>
          <w:kern w:val="36"/>
          <w:sz w:val="45"/>
          <w:szCs w:val="45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color w:val="333333"/>
          <w:kern w:val="36"/>
          <w:sz w:val="45"/>
          <w:szCs w:val="45"/>
          <w:lang w:eastAsia="lv-LV"/>
        </w:rPr>
        <w:t xml:space="preserve"> aprēķinu veikšanu?</w:t>
      </w:r>
    </w:p>
    <w:p w:rsidR="006B5B1B" w:rsidRPr="006B5B1B" w:rsidRDefault="006B5B1B" w:rsidP="006B5B1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Ja esat apzinīgs uzņēmuma vai organizācijas vadītājs / atbildīgais speciālists ugunsdrošības jautājumos, tad, izlasot jaunos Ugunsdrošības noteikumus, būsiet atzīmējuši virkni ar jautājumiem un jauninājumiem ugunsdrošības jomā, kas soli pa solim jāievieš no 01.09.2016.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 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Viens no šādiem jautājumiem ir </w:t>
      </w: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prasība veikt maksimāli pieļaujamās </w:t>
      </w:r>
      <w:proofErr w:type="spellStart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 aprēķinu ražošanas objektos</w:t>
      </w: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, kuros atrodas </w:t>
      </w: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ražošanas un/vai noliktavas telpas</w:t>
      </w: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 xml:space="preserve">. </w:t>
      </w:r>
      <w:proofErr w:type="spellStart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 xml:space="preserve"> aprēķins ir nepieciešams, lai noteiktu nepieciešamo ugunsdrošības inventāra daudzumu objektā un izstrādātu jauno ugunsdrošības instrukciju.</w:t>
      </w:r>
    </w:p>
    <w:p w:rsidR="006B5B1B" w:rsidRPr="006B5B1B" w:rsidRDefault="006B5B1B" w:rsidP="006B5B1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 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Kas ir </w:t>
      </w:r>
      <w:proofErr w:type="spellStart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ugunsslodze</w:t>
      </w:r>
      <w:proofErr w:type="spellEnd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 un kā to aprēķināt?</w:t>
      </w:r>
    </w:p>
    <w:p w:rsidR="006B5B1B" w:rsidRPr="006B5B1B" w:rsidRDefault="006B5B1B" w:rsidP="006B5B1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Kā zināms, tad līdz 2017.gada 1.septembrim ir jābūt pārstrādātām ugunsdrošības instrukcijām atbilstoši 19.04.2016 MK noteikumu nr.238 “Ugunsdrošības noteikumi” prasībām.</w:t>
      </w:r>
    </w:p>
    <w:p w:rsidR="006B5B1B" w:rsidRPr="006B5B1B" w:rsidRDefault="006B5B1B" w:rsidP="006B5B1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 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Ja objektā atrodas </w:t>
      </w: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ražošanas</w:t>
      </w: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 vai </w:t>
      </w: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noliktavas telpas</w:t>
      </w: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, tad atbildīgajam ir pienākums</w:t>
      </w:r>
    </w:p>
    <w:p w:rsidR="006B5B1B" w:rsidRPr="006B5B1B" w:rsidRDefault="006B5B1B" w:rsidP="006B5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 xml:space="preserve">aprēķināt objekta maksimāli pieļaujamo </w:t>
      </w:r>
      <w:proofErr w:type="spellStart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ugunsslodzi</w:t>
      </w:r>
      <w:proofErr w:type="spellEnd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;</w:t>
      </w:r>
    </w:p>
    <w:p w:rsidR="006B5B1B" w:rsidRPr="006B5B1B" w:rsidRDefault="006B5B1B" w:rsidP="006B5B1B">
      <w:pPr>
        <w:numPr>
          <w:ilvl w:val="0"/>
          <w:numId w:val="1"/>
        </w:numPr>
        <w:shd w:val="clear" w:color="auto" w:fill="FFFFFF"/>
        <w:spacing w:before="100" w:beforeAutospacing="1" w:after="0" w:line="375" w:lineRule="atLeast"/>
        <w:ind w:left="495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balstoties uz iegūtajiem aprēķiniem, noteikt nepieciešamo ugunsdrošības inventāra daudzumu.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bookmarkStart w:id="0" w:name="_GoBack"/>
      <w:bookmarkEnd w:id="0"/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 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proofErr w:type="spellStart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 definīcija ir dota </w:t>
      </w:r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2015. gada 30. jūnija Ministru kabineta noteikumu Nr.333 “</w:t>
      </w:r>
      <w:hyperlink r:id="rId5" w:history="1">
        <w:r w:rsidRPr="006B5B1B">
          <w:rPr>
            <w:rFonts w:ascii="Arial" w:eastAsia="Times New Roman" w:hAnsi="Arial" w:cs="Arial"/>
            <w:i/>
            <w:iCs/>
            <w:color w:val="428BCA"/>
            <w:sz w:val="23"/>
            <w:szCs w:val="23"/>
            <w:lang w:eastAsia="lv-LV"/>
          </w:rPr>
          <w:t>Noteikumi par Latvijas būvnormatīvu LBN 201-15 „Būvju ugunsdrošība”</w:t>
        </w:r>
      </w:hyperlink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” 2.36.punktā, proti, </w:t>
      </w:r>
      <w:proofErr w:type="spellStart"/>
      <w:r w:rsidRPr="006B5B1B">
        <w:rPr>
          <w:rFonts w:ascii="Arial" w:eastAsia="Times New Roman" w:hAnsi="Arial" w:cs="Arial"/>
          <w:b/>
          <w:bCs/>
          <w:i/>
          <w:iCs/>
          <w:color w:val="595A5C"/>
          <w:sz w:val="23"/>
          <w:szCs w:val="23"/>
          <w:lang w:eastAsia="lv-LV"/>
        </w:rPr>
        <w:t>Ugunsslodze</w:t>
      </w:r>
      <w:proofErr w:type="spellEnd"/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 xml:space="preserve"> – degšanas procesa laikā izdalāmās siltuma enerģijas daudzums (MJ) no telpas būvkonstrukcijām (pastāvīga </w:t>
      </w:r>
      <w:proofErr w:type="spellStart"/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ugunsslodze</w:t>
      </w:r>
      <w:proofErr w:type="spellEnd"/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 xml:space="preserve">) un telpā esošajām </w:t>
      </w:r>
      <w:proofErr w:type="spellStart"/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degtspējīgām</w:t>
      </w:r>
      <w:proofErr w:type="spellEnd"/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 xml:space="preserve"> vielām, materiāliem un iekārtam (mainīgā </w:t>
      </w:r>
      <w:proofErr w:type="spellStart"/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ugunsslodze</w:t>
      </w:r>
      <w:proofErr w:type="spellEnd"/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) uz telpas grīdas laukuma vienību (m</w:t>
      </w:r>
      <w:r w:rsidRPr="006B5B1B">
        <w:rPr>
          <w:rFonts w:ascii="Arial" w:eastAsia="Times New Roman" w:hAnsi="Arial" w:cs="Arial"/>
          <w:i/>
          <w:iCs/>
          <w:color w:val="595A5C"/>
          <w:sz w:val="17"/>
          <w:szCs w:val="17"/>
          <w:vertAlign w:val="superscript"/>
          <w:lang w:eastAsia="lv-LV"/>
        </w:rPr>
        <w:t>2</w:t>
      </w:r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).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 </w:t>
      </w:r>
    </w:p>
    <w:p w:rsidR="006B5B1B" w:rsidRPr="006B5B1B" w:rsidRDefault="006B5B1B" w:rsidP="006B5B1B">
      <w:pPr>
        <w:shd w:val="clear" w:color="auto" w:fill="FFFFFF"/>
        <w:spacing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 xml:space="preserve">Atbilstoši spēkā esošajam būvnormatīvam LBN 201-15 Objekta </w:t>
      </w:r>
      <w:proofErr w:type="spellStart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 xml:space="preserve"> aprēķina kārtība ir šāda:</w:t>
      </w:r>
    </w:p>
    <w:p w:rsidR="006B5B1B" w:rsidRPr="006B5B1B" w:rsidRDefault="006B5B1B" w:rsidP="006B5B1B">
      <w:pPr>
        <w:shd w:val="clear" w:color="auto" w:fill="FFFFFF"/>
        <w:spacing w:line="375" w:lineRule="atLeast"/>
        <w:textAlignment w:val="top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noProof/>
          <w:color w:val="595A5C"/>
          <w:sz w:val="23"/>
          <w:szCs w:val="23"/>
          <w:lang w:eastAsia="lv-LV"/>
        </w:rPr>
        <w:lastRenderedPageBreak/>
        <w:drawing>
          <wp:inline distT="0" distB="0" distL="0" distR="0" wp14:anchorId="4CE10D9A" wp14:editId="4BF2D8B5">
            <wp:extent cx="6181725" cy="3956303"/>
            <wp:effectExtent l="0" t="0" r="0" b="6350"/>
            <wp:docPr id="2" name="Picture 2" descr="f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86" cy="402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Vai </w:t>
      </w:r>
      <w:proofErr w:type="spellStart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 aprēķinu veikšanai ir obligāti piesaistīt profesionāļus?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Jaunie Ugunsdrošības noteikumi </w:t>
      </w: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neuzliek par pienākumu</w:t>
      </w: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 objektu atbildīgajiem </w:t>
      </w: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piesaistīt profesionāļus </w:t>
      </w:r>
      <w:proofErr w:type="spellStart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 aprēķinu veikšanai</w:t>
      </w: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 un nepieciešamā ugunsdrošības inventāra noteikšanai. Ja objekta atbildīgajam ir nepieciešamās zināšanas par viņa pārraudzībā esošo objektu, tad pielietojot </w:t>
      </w:r>
      <w:proofErr w:type="spellStart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 aprēķina metodiku</w:t>
      </w: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, viņš to var izdarīt arī bez profesionāļu iesaistes.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i/>
          <w:iCs/>
          <w:color w:val="595A5C"/>
          <w:sz w:val="23"/>
          <w:szCs w:val="23"/>
          <w:lang w:eastAsia="lv-LV"/>
        </w:rPr>
        <w:t> 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Kā rīkoties, ja tomēr ir šaubas par to, vai tiksiet galā ar jaunās ugunsdrošības instrukcijas izstrādi un vajadzīgo </w:t>
      </w:r>
      <w:proofErr w:type="spellStart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 xml:space="preserve"> aprēķinu veikšanu?</w:t>
      </w:r>
    </w:p>
    <w:p w:rsidR="006B5B1B" w:rsidRPr="006B5B1B" w:rsidRDefault="006B5B1B" w:rsidP="006B5B1B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Viens no risinājumiem jau tika pieminēts iepriekš, un tas ir uzticēt jaunās ugunsdrošības instrukcijas izstrādi profesionāļiem.</w:t>
      </w:r>
    </w:p>
    <w:p w:rsidR="006B5B1B" w:rsidRPr="006B5B1B" w:rsidRDefault="006B5B1B" w:rsidP="00806A7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 xml:space="preserve">Otrais risinājums ir papildināt savas zināšanas par </w:t>
      </w:r>
      <w:proofErr w:type="spellStart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 xml:space="preserve"> aprēķina veikšanu, rūpīgi izstudēt jauno Ugunsdrošības noteikumu prasības un pārstrādāt ugunsdrošības instrukcijas pašu spēkiem.</w:t>
      </w:r>
    </w:p>
    <w:p w:rsidR="006B5B1B" w:rsidRPr="006B5B1B" w:rsidRDefault="006B5B1B" w:rsidP="006B5B1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b/>
          <w:bCs/>
          <w:color w:val="595A5C"/>
          <w:sz w:val="23"/>
          <w:szCs w:val="23"/>
          <w:lang w:eastAsia="lv-LV"/>
        </w:rPr>
        <w:t>Kopsavilkums:</w:t>
      </w:r>
    </w:p>
    <w:p w:rsidR="006B5B1B" w:rsidRPr="006B5B1B" w:rsidRDefault="006B5B1B" w:rsidP="006B5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Līdz 01.09.2017 objektu atbildīgajiem ir jāpārstrādā ugunsdrošības instrukcijas atbilstoši 04.2016 MK noteikumu nr.238 “Ugunsdrošības noteikumi” prasībām</w:t>
      </w:r>
    </w:p>
    <w:p w:rsidR="006B5B1B" w:rsidRPr="006B5B1B" w:rsidRDefault="006B5B1B" w:rsidP="006B5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proofErr w:type="spellStart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Ugunsslodzes</w:t>
      </w:r>
      <w:proofErr w:type="spellEnd"/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 xml:space="preserve"> aprēķinu veikšanai nav obligāti piesaistīt profesionālu organizāciju. Jaunie Ugunsdrošības noteikumi atļauj aprēķinus veikt pašiem, ievērojot normatīvo aktu prasības un aprēķinu metodikas.</w:t>
      </w:r>
    </w:p>
    <w:p w:rsidR="006B5B1B" w:rsidRPr="006B5B1B" w:rsidRDefault="006B5B1B" w:rsidP="006B5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Jebkuras šaubas un neziņu par jauno Ugunsdrošības noteikumu prasību ieviešanu iespējams kliedēt, vai nu piesaistot profesionāļus, vai arī pilnveidojot savas zināšanas.</w:t>
      </w:r>
    </w:p>
    <w:p w:rsidR="00110E55" w:rsidRPr="00806A71" w:rsidRDefault="006B5B1B" w:rsidP="00806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595A5C"/>
          <w:sz w:val="23"/>
          <w:szCs w:val="23"/>
          <w:lang w:eastAsia="lv-LV"/>
        </w:rPr>
      </w:pPr>
      <w:r w:rsidRPr="006B5B1B">
        <w:rPr>
          <w:rFonts w:ascii="Arial" w:eastAsia="Times New Roman" w:hAnsi="Arial" w:cs="Arial"/>
          <w:color w:val="595A5C"/>
          <w:sz w:val="23"/>
          <w:szCs w:val="23"/>
          <w:lang w:eastAsia="lv-LV"/>
        </w:rPr>
        <w:t>Uzņēmumu saraksts, kas var palīdzēt sakārtot ugunsdrošības jautājumus ir garš, Jums atliek izvēlēties atbilstošāko.</w:t>
      </w:r>
    </w:p>
    <w:sectPr w:rsidR="00110E55" w:rsidRPr="00806A71" w:rsidSect="00A206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15D1"/>
    <w:multiLevelType w:val="multilevel"/>
    <w:tmpl w:val="654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7336B"/>
    <w:multiLevelType w:val="multilevel"/>
    <w:tmpl w:val="A6E4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1B"/>
    <w:rsid w:val="00110E55"/>
    <w:rsid w:val="006B5B1B"/>
    <w:rsid w:val="00806A71"/>
    <w:rsid w:val="00A20655"/>
    <w:rsid w:val="00A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4E04F3-29F7-45DB-BD49-9484E69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153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562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71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547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09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72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kumi.lv/ta/id/275006-noteikumi-par-latvijas-buvnormativu-lbn-201-15-buvju-ugunsdrosib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Gramatvede</dc:creator>
  <cp:keywords/>
  <dc:description/>
  <cp:lastModifiedBy>Gramatvede</cp:lastModifiedBy>
  <cp:revision>3</cp:revision>
  <dcterms:created xsi:type="dcterms:W3CDTF">2016-09-19T06:14:00Z</dcterms:created>
  <dcterms:modified xsi:type="dcterms:W3CDTF">2016-09-23T07:03:00Z</dcterms:modified>
</cp:coreProperties>
</file>